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57E13" w14:textId="77777777" w:rsidR="003D5665" w:rsidRPr="003F3913" w:rsidRDefault="003D5665">
      <w:pPr>
        <w:rPr>
          <w:rFonts w:ascii="Arial" w:eastAsia="標楷體" w:hAnsi="Arial" w:cs="Arial"/>
          <w:color w:val="000000" w:themeColor="text1"/>
        </w:rPr>
      </w:pPr>
    </w:p>
    <w:p w14:paraId="0062A2C8" w14:textId="27E2D256" w:rsidR="005564B1" w:rsidRPr="003F3913" w:rsidRDefault="005564B1" w:rsidP="001850CC">
      <w:pPr>
        <w:rPr>
          <w:rFonts w:ascii="Arial" w:eastAsia="標楷體" w:hAnsi="Arial" w:cs="Arial"/>
          <w:color w:val="000000" w:themeColor="text1"/>
          <w:sz w:val="48"/>
          <w:szCs w:val="48"/>
        </w:rPr>
      </w:pPr>
    </w:p>
    <w:p w14:paraId="630B7A24" w14:textId="77777777" w:rsidR="00AC7965" w:rsidRPr="003F3913" w:rsidRDefault="00AC7965" w:rsidP="005564B1">
      <w:pPr>
        <w:jc w:val="center"/>
        <w:rPr>
          <w:rFonts w:ascii="Arial" w:eastAsia="標楷體" w:hAnsi="Arial" w:cs="Arial"/>
          <w:color w:val="000000" w:themeColor="text1"/>
          <w:sz w:val="48"/>
          <w:szCs w:val="48"/>
        </w:rPr>
      </w:pPr>
    </w:p>
    <w:p w14:paraId="4A59ACB7" w14:textId="77777777" w:rsidR="001850CC" w:rsidRPr="003F3913" w:rsidRDefault="001850CC" w:rsidP="005564B1">
      <w:pPr>
        <w:jc w:val="center"/>
        <w:rPr>
          <w:rFonts w:ascii="Arial" w:eastAsia="標楷體" w:hAnsi="Arial" w:cs="Arial"/>
          <w:color w:val="000000" w:themeColor="text1"/>
          <w:sz w:val="48"/>
          <w:szCs w:val="48"/>
        </w:rPr>
      </w:pPr>
    </w:p>
    <w:p w14:paraId="6D43D772" w14:textId="77777777" w:rsidR="001850CC" w:rsidRPr="003F3913" w:rsidRDefault="001850CC" w:rsidP="005564B1">
      <w:pPr>
        <w:jc w:val="center"/>
        <w:rPr>
          <w:rFonts w:ascii="Arial" w:eastAsia="標楷體" w:hAnsi="Arial" w:cs="Arial"/>
          <w:color w:val="000000" w:themeColor="text1"/>
          <w:sz w:val="48"/>
          <w:szCs w:val="48"/>
        </w:rPr>
      </w:pPr>
    </w:p>
    <w:p w14:paraId="5EAD30FD" w14:textId="77777777" w:rsidR="00CA41FB" w:rsidRPr="003F3913" w:rsidRDefault="001850CC" w:rsidP="005564B1">
      <w:pPr>
        <w:jc w:val="center"/>
        <w:rPr>
          <w:rFonts w:ascii="Arial" w:eastAsia="標楷體" w:hAnsi="Arial" w:cs="Arial"/>
          <w:color w:val="000000" w:themeColor="text1"/>
          <w:sz w:val="48"/>
          <w:szCs w:val="48"/>
        </w:rPr>
      </w:pPr>
      <w:r w:rsidRPr="003F3913">
        <w:rPr>
          <w:rFonts w:ascii="Arial" w:eastAsia="標楷體" w:hAnsi="Arial" w:cs="Arial" w:hint="eastAsia"/>
          <w:color w:val="000000" w:themeColor="text1"/>
          <w:sz w:val="48"/>
          <w:szCs w:val="48"/>
        </w:rPr>
        <w:t xml:space="preserve"> </w:t>
      </w:r>
      <w:r w:rsidR="00DF1B73" w:rsidRPr="003F3913">
        <w:rPr>
          <w:rFonts w:ascii="Arial" w:eastAsia="標楷體" w:hAnsi="Arial" w:cs="Arial"/>
          <w:noProof/>
          <w:color w:val="000000" w:themeColor="text1"/>
          <w:sz w:val="48"/>
          <w:szCs w:val="48"/>
        </w:rPr>
        <w:drawing>
          <wp:inline distT="0" distB="0" distL="0" distR="0" wp14:anchorId="0977626F" wp14:editId="4407DF8A">
            <wp:extent cx="1628524" cy="724794"/>
            <wp:effectExtent l="0" t="0" r="0" b="0"/>
            <wp:docPr id="1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24" cy="72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3913">
        <w:rPr>
          <w:rFonts w:ascii="Arial" w:eastAsia="標楷體" w:hAnsi="Arial" w:cs="Arial" w:hint="eastAsia"/>
          <w:color w:val="000000" w:themeColor="text1"/>
          <w:sz w:val="48"/>
          <w:szCs w:val="48"/>
        </w:rPr>
        <w:t xml:space="preserve">    </w:t>
      </w:r>
    </w:p>
    <w:p w14:paraId="353D4E6D" w14:textId="77777777" w:rsidR="00AA0F86" w:rsidRPr="003F3913" w:rsidRDefault="00AA0F86" w:rsidP="005564B1">
      <w:pPr>
        <w:jc w:val="center"/>
        <w:rPr>
          <w:rFonts w:ascii="Arial" w:eastAsia="標楷體" w:hAnsi="Arial" w:cs="Arial"/>
          <w:color w:val="000000" w:themeColor="text1"/>
          <w:sz w:val="48"/>
          <w:szCs w:val="48"/>
        </w:rPr>
      </w:pPr>
    </w:p>
    <w:p w14:paraId="382CCCAC" w14:textId="0C9B083F" w:rsidR="00127E6D" w:rsidRPr="003F3913" w:rsidRDefault="00127E6D" w:rsidP="00127E6D">
      <w:pPr>
        <w:jc w:val="center"/>
        <w:rPr>
          <w:rFonts w:ascii="微軟正黑體" w:eastAsia="微軟正黑體" w:hAnsi="微軟正黑體" w:cs="Arial"/>
          <w:b/>
          <w:color w:val="000000" w:themeColor="text1"/>
          <w:sz w:val="56"/>
          <w:szCs w:val="48"/>
        </w:rPr>
      </w:pPr>
      <w:r w:rsidRPr="003F3913">
        <w:rPr>
          <w:rFonts w:ascii="微軟正黑體" w:eastAsia="微軟正黑體" w:hAnsi="微軟正黑體" w:cs="Arial"/>
          <w:b/>
          <w:color w:val="000000" w:themeColor="text1"/>
          <w:sz w:val="56"/>
          <w:szCs w:val="48"/>
        </w:rPr>
        <w:t>資訊</w:t>
      </w:r>
      <w:r w:rsidRPr="003F3913">
        <w:rPr>
          <w:rFonts w:ascii="微軟正黑體" w:eastAsia="微軟正黑體" w:hAnsi="微軟正黑體" w:cs="Arial" w:hint="eastAsia"/>
          <w:b/>
          <w:color w:val="000000" w:themeColor="text1"/>
          <w:sz w:val="56"/>
          <w:szCs w:val="48"/>
        </w:rPr>
        <w:t>方案營運處</w:t>
      </w:r>
    </w:p>
    <w:p w14:paraId="08422FB4" w14:textId="77777777" w:rsidR="00AA0F86" w:rsidRPr="003F3913" w:rsidRDefault="00AA0F86" w:rsidP="00AA0F86">
      <w:pPr>
        <w:jc w:val="center"/>
        <w:rPr>
          <w:rFonts w:ascii="微軟正黑體" w:eastAsia="微軟正黑體" w:hAnsi="微軟正黑體" w:cs="Arial"/>
          <w:b/>
          <w:color w:val="000000" w:themeColor="text1"/>
          <w:sz w:val="56"/>
          <w:szCs w:val="48"/>
        </w:rPr>
      </w:pPr>
      <w:r w:rsidRPr="003F3913">
        <w:rPr>
          <w:rFonts w:ascii="微軟正黑體" w:eastAsia="微軟正黑體" w:hAnsi="微軟正黑體" w:cs="Arial"/>
          <w:b/>
          <w:color w:val="000000" w:themeColor="text1"/>
          <w:sz w:val="56"/>
          <w:szCs w:val="48"/>
        </w:rPr>
        <w:t>資訊安全政策</w:t>
      </w:r>
    </w:p>
    <w:p w14:paraId="6E2CC688" w14:textId="77777777" w:rsidR="00CA41FB" w:rsidRPr="003F3913" w:rsidRDefault="00CA41FB" w:rsidP="005564B1">
      <w:pPr>
        <w:jc w:val="center"/>
        <w:rPr>
          <w:rFonts w:ascii="Arial" w:eastAsia="標楷體" w:hAnsi="Arial" w:cs="Arial"/>
          <w:color w:val="000000" w:themeColor="text1"/>
          <w:sz w:val="48"/>
          <w:szCs w:val="48"/>
        </w:rPr>
      </w:pPr>
    </w:p>
    <w:p w14:paraId="46C94DCF" w14:textId="77777777" w:rsidR="00AA0F86" w:rsidRPr="003F3913" w:rsidRDefault="00AA0F86" w:rsidP="005564B1">
      <w:pPr>
        <w:jc w:val="center"/>
        <w:rPr>
          <w:rFonts w:ascii="Arial" w:eastAsia="標楷體" w:hAnsi="Arial" w:cs="Arial"/>
          <w:color w:val="000000" w:themeColor="text1"/>
          <w:sz w:val="48"/>
          <w:szCs w:val="48"/>
        </w:rPr>
      </w:pPr>
    </w:p>
    <w:p w14:paraId="33BAE886" w14:textId="77777777" w:rsidR="001850CC" w:rsidRPr="003F3913" w:rsidRDefault="001850CC" w:rsidP="005564B1">
      <w:pPr>
        <w:jc w:val="center"/>
        <w:rPr>
          <w:rFonts w:ascii="Arial" w:eastAsia="標楷體" w:hAnsi="Arial" w:cs="Arial"/>
          <w:color w:val="000000" w:themeColor="text1"/>
          <w:sz w:val="48"/>
          <w:szCs w:val="48"/>
        </w:rPr>
      </w:pPr>
    </w:p>
    <w:p w14:paraId="24772CDB" w14:textId="77777777" w:rsidR="001850CC" w:rsidRPr="003F3913" w:rsidRDefault="001850CC" w:rsidP="005564B1">
      <w:pPr>
        <w:jc w:val="center"/>
        <w:rPr>
          <w:rFonts w:ascii="Arial" w:eastAsia="標楷體" w:hAnsi="Arial" w:cs="Arial"/>
          <w:color w:val="000000" w:themeColor="text1"/>
          <w:sz w:val="48"/>
          <w:szCs w:val="48"/>
        </w:rPr>
      </w:pPr>
    </w:p>
    <w:p w14:paraId="0B008EAD" w14:textId="77777777" w:rsidR="001850CC" w:rsidRPr="003F3913" w:rsidRDefault="001850CC" w:rsidP="005564B1">
      <w:pPr>
        <w:jc w:val="center"/>
        <w:rPr>
          <w:rFonts w:ascii="Arial" w:eastAsia="標楷體" w:hAnsi="Arial" w:cs="Arial"/>
          <w:color w:val="000000" w:themeColor="text1"/>
          <w:sz w:val="48"/>
          <w:szCs w:val="48"/>
        </w:rPr>
      </w:pPr>
    </w:p>
    <w:p w14:paraId="2F6E3068" w14:textId="77777777" w:rsidR="001850CC" w:rsidRPr="003F3913" w:rsidRDefault="001850CC" w:rsidP="005564B1">
      <w:pPr>
        <w:jc w:val="center"/>
        <w:rPr>
          <w:rFonts w:ascii="Arial" w:eastAsia="標楷體" w:hAnsi="Arial" w:cs="Arial"/>
          <w:color w:val="000000" w:themeColor="text1"/>
          <w:sz w:val="48"/>
          <w:szCs w:val="48"/>
        </w:rPr>
      </w:pPr>
    </w:p>
    <w:p w14:paraId="3143CA0B" w14:textId="58039317" w:rsidR="00CA41FB" w:rsidRPr="003F3913" w:rsidRDefault="00CA41FB" w:rsidP="00CA41FB">
      <w:pPr>
        <w:rPr>
          <w:rFonts w:ascii="微軟正黑體" w:eastAsia="微軟正黑體" w:hAnsi="微軟正黑體" w:cs="Arial"/>
          <w:color w:val="000000" w:themeColor="text1"/>
          <w:szCs w:val="24"/>
        </w:rPr>
      </w:pPr>
      <w:r w:rsidRPr="003F3913">
        <w:rPr>
          <w:rFonts w:ascii="微軟正黑體" w:eastAsia="微軟正黑體" w:hAnsi="微軟正黑體" w:cs="Arial" w:hint="eastAsia"/>
          <w:color w:val="000000" w:themeColor="text1"/>
          <w:szCs w:val="24"/>
        </w:rPr>
        <w:t>版次：</w:t>
      </w:r>
      <w:r w:rsidR="0085427A" w:rsidRPr="003F3913">
        <w:rPr>
          <w:rFonts w:ascii="微軟正黑體" w:eastAsia="微軟正黑體" w:hAnsi="微軟正黑體" w:cs="Arial"/>
          <w:color w:val="000000" w:themeColor="text1"/>
          <w:szCs w:val="24"/>
        </w:rPr>
        <w:t>6</w:t>
      </w:r>
      <w:r w:rsidRPr="003F3913">
        <w:rPr>
          <w:rFonts w:ascii="微軟正黑體" w:eastAsia="微軟正黑體" w:hAnsi="微軟正黑體" w:cs="Arial" w:hint="eastAsia"/>
          <w:color w:val="000000" w:themeColor="text1"/>
          <w:szCs w:val="24"/>
        </w:rPr>
        <w:t>.</w:t>
      </w:r>
      <w:r w:rsidRPr="003F3913">
        <w:rPr>
          <w:rFonts w:ascii="微軟正黑體" w:eastAsia="微軟正黑體" w:hAnsi="微軟正黑體" w:cs="Arial"/>
          <w:color w:val="000000" w:themeColor="text1"/>
          <w:szCs w:val="24"/>
        </w:rPr>
        <w:t>0</w:t>
      </w:r>
      <w:r w:rsidRPr="003F3913">
        <w:rPr>
          <w:rFonts w:ascii="微軟正黑體" w:eastAsia="微軟正黑體" w:hAnsi="微軟正黑體" w:cs="Arial" w:hint="eastAsia"/>
          <w:color w:val="000000" w:themeColor="text1"/>
          <w:szCs w:val="24"/>
        </w:rPr>
        <w:t xml:space="preserve"> </w:t>
      </w:r>
    </w:p>
    <w:p w14:paraId="10AACDAF" w14:textId="77777777" w:rsidR="00CA41FB" w:rsidRPr="003F3913" w:rsidRDefault="00CA41FB" w:rsidP="00CA41FB">
      <w:pPr>
        <w:rPr>
          <w:rFonts w:ascii="微軟正黑體" w:eastAsia="微軟正黑體" w:hAnsi="微軟正黑體" w:cs="Arial"/>
          <w:color w:val="000000" w:themeColor="text1"/>
          <w:szCs w:val="24"/>
        </w:rPr>
      </w:pPr>
      <w:r w:rsidRPr="003F3913">
        <w:rPr>
          <w:rFonts w:ascii="微軟正黑體" w:eastAsia="微軟正黑體" w:hAnsi="微軟正黑體" w:cs="Arial" w:hint="eastAsia"/>
          <w:color w:val="000000" w:themeColor="text1"/>
          <w:szCs w:val="24"/>
        </w:rPr>
        <w:t>本文件著作權屬</w:t>
      </w:r>
      <w:r w:rsidRPr="003F3913">
        <w:rPr>
          <w:rFonts w:ascii="微軟正黑體" w:eastAsia="微軟正黑體" w:hAnsi="微軟正黑體" w:cs="Arial"/>
          <w:color w:val="000000" w:themeColor="text1"/>
          <w:szCs w:val="24"/>
        </w:rPr>
        <w:t>英業達股份有限公司</w:t>
      </w:r>
      <w:r w:rsidRPr="003F3913">
        <w:rPr>
          <w:rFonts w:ascii="微軟正黑體" w:eastAsia="微軟正黑體" w:hAnsi="微軟正黑體" w:cs="Arial" w:hint="eastAsia"/>
          <w:color w:val="000000" w:themeColor="text1"/>
          <w:szCs w:val="24"/>
        </w:rPr>
        <w:t>所有，未經本</w:t>
      </w:r>
      <w:r w:rsidR="00690856" w:rsidRPr="003F3913">
        <w:rPr>
          <w:rFonts w:ascii="微軟正黑體" w:eastAsia="微軟正黑體" w:hAnsi="微軟正黑體" w:cs="Arial"/>
          <w:color w:val="000000" w:themeColor="text1"/>
          <w:szCs w:val="24"/>
        </w:rPr>
        <w:t>公司</w:t>
      </w:r>
      <w:r w:rsidRPr="003F3913">
        <w:rPr>
          <w:rFonts w:ascii="微軟正黑體" w:eastAsia="微軟正黑體" w:hAnsi="微軟正黑體" w:cs="Arial" w:hint="eastAsia"/>
          <w:color w:val="000000" w:themeColor="text1"/>
          <w:szCs w:val="24"/>
        </w:rPr>
        <w:t>許可不准引用或翻印</w:t>
      </w:r>
      <w:r w:rsidR="00130B16" w:rsidRPr="003F3913">
        <w:rPr>
          <w:rFonts w:ascii="微軟正黑體" w:eastAsia="微軟正黑體" w:hAnsi="微軟正黑體" w:cs="Arial" w:hint="eastAsia"/>
          <w:color w:val="000000" w:themeColor="text1"/>
          <w:szCs w:val="24"/>
        </w:rPr>
        <w:t>。</w:t>
      </w:r>
    </w:p>
    <w:p w14:paraId="03A16335" w14:textId="77777777" w:rsidR="006911D3" w:rsidRPr="003F3913" w:rsidRDefault="006911D3" w:rsidP="006D7FD2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 w:cs="Arial"/>
          <w:color w:val="000000" w:themeColor="text1"/>
        </w:rPr>
      </w:pPr>
      <w:r w:rsidRPr="003F3913">
        <w:rPr>
          <w:rFonts w:ascii="Arial" w:eastAsia="標楷體" w:hAnsi="Arial" w:cs="Arial"/>
          <w:color w:val="000000" w:themeColor="text1"/>
          <w:szCs w:val="24"/>
        </w:rPr>
        <w:br w:type="page"/>
      </w:r>
      <w:r w:rsidRPr="003F3913">
        <w:rPr>
          <w:rFonts w:ascii="微軟正黑體" w:eastAsia="微軟正黑體" w:hAnsi="微軟正黑體" w:cs="Arial"/>
          <w:b/>
          <w:color w:val="000000" w:themeColor="text1"/>
          <w:kern w:val="0"/>
          <w:sz w:val="36"/>
          <w:szCs w:val="36"/>
        </w:rPr>
        <w:lastRenderedPageBreak/>
        <w:t>目的</w:t>
      </w:r>
    </w:p>
    <w:p w14:paraId="6167974F" w14:textId="7DC1700F" w:rsidR="006911D3" w:rsidRPr="003F3913" w:rsidRDefault="006911D3" w:rsidP="006911D3">
      <w:pPr>
        <w:pStyle w:val="21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/>
        </w:rPr>
        <w:t>為貫徹英業達</w:t>
      </w:r>
      <w:r w:rsidR="00AA0F86" w:rsidRPr="003F3913">
        <w:rPr>
          <w:rFonts w:ascii="微軟正黑體" w:eastAsia="微軟正黑體" w:hAnsi="微軟正黑體" w:cs="Arial" w:hint="eastAsia"/>
        </w:rPr>
        <w:t>集團</w:t>
      </w:r>
      <w:r w:rsidR="00AA0F86" w:rsidRPr="003F3913">
        <w:rPr>
          <w:rFonts w:ascii="微軟正黑體" w:eastAsia="微軟正黑體" w:hAnsi="微軟正黑體" w:cs="Arial"/>
        </w:rPr>
        <w:t>之</w:t>
      </w:r>
      <w:r w:rsidRPr="003F3913">
        <w:rPr>
          <w:rFonts w:ascii="微軟正黑體" w:eastAsia="微軟正黑體" w:hAnsi="微軟正黑體" w:cs="Arial"/>
        </w:rPr>
        <w:t>「創新、品質、虛心、力行」經營理念，確保英業達股份有限公司</w:t>
      </w:r>
      <w:r w:rsidR="0085427A" w:rsidRPr="003F3913">
        <w:rPr>
          <w:rFonts w:hint="eastAsia"/>
        </w:rPr>
        <w:t>「資訊方案營運處」</w:t>
      </w:r>
      <w:r w:rsidRPr="003F3913">
        <w:rPr>
          <w:rFonts w:ascii="微軟正黑體" w:eastAsia="微軟正黑體" w:hAnsi="微軟正黑體" w:cs="Arial"/>
        </w:rPr>
        <w:t>之資訊系統服務正常且安全穩定的運作。茲制訂資訊安全管理</w:t>
      </w:r>
      <w:r w:rsidR="009766A7" w:rsidRPr="003F3913">
        <w:rPr>
          <w:rFonts w:ascii="微軟正黑體" w:eastAsia="微軟正黑體" w:hAnsi="微軟正黑體" w:cs="Arial" w:hint="eastAsia"/>
        </w:rPr>
        <w:t>政策</w:t>
      </w:r>
      <w:r w:rsidRPr="003F3913">
        <w:rPr>
          <w:rFonts w:ascii="微軟正黑體" w:eastAsia="微軟正黑體" w:hAnsi="微軟正黑體" w:cs="Arial"/>
        </w:rPr>
        <w:t xml:space="preserve">，提供落實ISO 27001管理系統之依據，其管理系統之規劃，應掌握以下原則： </w:t>
      </w:r>
    </w:p>
    <w:p w14:paraId="5E248E3C" w14:textId="77777777" w:rsidR="006911D3" w:rsidRPr="003F3913" w:rsidRDefault="006911D3" w:rsidP="00D358FD">
      <w:pPr>
        <w:pStyle w:val="3"/>
        <w:numPr>
          <w:ilvl w:val="0"/>
          <w:numId w:val="5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/>
        </w:rPr>
        <w:t>應展現</w:t>
      </w:r>
      <w:r w:rsidRPr="003F3913">
        <w:rPr>
          <w:rFonts w:ascii="微軟正黑體" w:eastAsia="微軟正黑體" w:hAnsi="微軟正黑體" w:cs="Arial"/>
          <w:kern w:val="2"/>
        </w:rPr>
        <w:t>資訊安全管理制度最高指導方針，以確保資訊資產之機密性(Confidentiality)、完整性(Integrity)、可用性(Availability)及持</w:t>
      </w:r>
      <w:r w:rsidRPr="003F3913">
        <w:rPr>
          <w:rFonts w:ascii="微軟正黑體" w:eastAsia="微軟正黑體" w:hAnsi="微軟正黑體" w:cs="Arial"/>
        </w:rPr>
        <w:t>續提供滿足客戶之產品能力。</w:t>
      </w:r>
    </w:p>
    <w:p w14:paraId="3B717A26" w14:textId="77777777" w:rsidR="006911D3" w:rsidRPr="003F3913" w:rsidRDefault="006911D3" w:rsidP="00D358FD">
      <w:pPr>
        <w:pStyle w:val="3"/>
        <w:numPr>
          <w:ilvl w:val="0"/>
          <w:numId w:val="5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/>
        </w:rPr>
        <w:t>應藉管理系統之有效運作、</w:t>
      </w:r>
      <w:proofErr w:type="gramStart"/>
      <w:r w:rsidRPr="003F3913">
        <w:rPr>
          <w:rFonts w:ascii="微軟正黑體" w:eastAsia="微軟正黑體" w:hAnsi="微軟正黑體" w:cs="Arial"/>
        </w:rPr>
        <w:t>規劃其諸流程</w:t>
      </w:r>
      <w:proofErr w:type="gramEnd"/>
      <w:r w:rsidRPr="003F3913">
        <w:rPr>
          <w:rFonts w:ascii="微軟正黑體" w:eastAsia="微軟正黑體" w:hAnsi="微軟正黑體" w:cs="Arial"/>
        </w:rPr>
        <w:t>，以符合相關法規之要求，降低資訊安全風險，進而保障資訊系統服務使用者之權益。</w:t>
      </w:r>
    </w:p>
    <w:p w14:paraId="0B67E24B" w14:textId="77777777" w:rsidR="006911D3" w:rsidRPr="003F3913" w:rsidRDefault="006911D3" w:rsidP="006911D3">
      <w:pPr>
        <w:pStyle w:val="4"/>
        <w:numPr>
          <w:ilvl w:val="0"/>
          <w:numId w:val="0"/>
        </w:numPr>
        <w:ind w:left="1417"/>
        <w:rPr>
          <w:rFonts w:ascii="微軟正黑體" w:eastAsia="微軟正黑體" w:hAnsi="微軟正黑體" w:cs="Arial"/>
          <w:color w:val="000000" w:themeColor="text1"/>
        </w:rPr>
      </w:pPr>
    </w:p>
    <w:p w14:paraId="2B610C99" w14:textId="77777777" w:rsidR="006911D3" w:rsidRPr="003F3913" w:rsidRDefault="006911D3" w:rsidP="006911D3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 w:cs="Arial"/>
          <w:b/>
          <w:color w:val="000000" w:themeColor="text1"/>
          <w:kern w:val="0"/>
          <w:sz w:val="36"/>
          <w:szCs w:val="36"/>
        </w:rPr>
      </w:pPr>
      <w:bookmarkStart w:id="0" w:name="_Toc247449133"/>
      <w:bookmarkStart w:id="1" w:name="_Toc426625261"/>
      <w:r w:rsidRPr="003F3913">
        <w:rPr>
          <w:rFonts w:ascii="微軟正黑體" w:eastAsia="微軟正黑體" w:hAnsi="微軟正黑體" w:cs="Arial"/>
          <w:b/>
          <w:color w:val="000000" w:themeColor="text1"/>
          <w:kern w:val="0"/>
          <w:sz w:val="36"/>
          <w:szCs w:val="36"/>
        </w:rPr>
        <w:t>適用範圍</w:t>
      </w:r>
      <w:bookmarkEnd w:id="0"/>
      <w:bookmarkEnd w:id="1"/>
    </w:p>
    <w:p w14:paraId="452D09A5" w14:textId="77777777" w:rsidR="006911D3" w:rsidRPr="003F3913" w:rsidRDefault="00E06F5E" w:rsidP="0085427A">
      <w:pPr>
        <w:pStyle w:val="21"/>
        <w:rPr>
          <w:rFonts w:ascii="微軟正黑體" w:eastAsia="微軟正黑體" w:hAnsi="微軟正黑體"/>
        </w:rPr>
      </w:pPr>
      <w:r w:rsidRPr="003F3913">
        <w:rPr>
          <w:rFonts w:ascii="微軟正黑體" w:eastAsia="微軟正黑體" w:hAnsi="微軟正黑體" w:hint="eastAsia"/>
        </w:rPr>
        <w:t>英業達股份有限公司</w:t>
      </w:r>
      <w:r w:rsidR="00913E91" w:rsidRPr="003F3913">
        <w:rPr>
          <w:rFonts w:ascii="微軟正黑體" w:eastAsia="微軟正黑體" w:hAnsi="微軟正黑體" w:hint="eastAsia"/>
        </w:rPr>
        <w:t>「</w:t>
      </w:r>
      <w:r w:rsidR="00910F7C" w:rsidRPr="003F3913">
        <w:rPr>
          <w:rFonts w:ascii="微軟正黑體" w:eastAsia="微軟正黑體" w:hAnsi="微軟正黑體" w:hint="eastAsia"/>
        </w:rPr>
        <w:t>資訊方案營運處</w:t>
      </w:r>
      <w:r w:rsidR="00913E91" w:rsidRPr="003F3913">
        <w:rPr>
          <w:rFonts w:ascii="微軟正黑體" w:eastAsia="微軟正黑體" w:hAnsi="微軟正黑體" w:hint="eastAsia"/>
        </w:rPr>
        <w:t>」</w:t>
      </w:r>
      <w:r w:rsidRPr="003F3913">
        <w:rPr>
          <w:rFonts w:ascii="微軟正黑體" w:eastAsia="微軟正黑體" w:hAnsi="微軟正黑體" w:hint="eastAsia"/>
        </w:rPr>
        <w:t>之SaaS雲端服務。</w:t>
      </w:r>
    </w:p>
    <w:p w14:paraId="5461CE48" w14:textId="77777777" w:rsidR="00D358FD" w:rsidRPr="003F3913" w:rsidRDefault="00D358FD" w:rsidP="00D358FD">
      <w:pPr>
        <w:pStyle w:val="21"/>
        <w:rPr>
          <w:rFonts w:ascii="微軟正黑體" w:eastAsia="微軟正黑體" w:hAnsi="微軟正黑體"/>
        </w:rPr>
      </w:pPr>
    </w:p>
    <w:p w14:paraId="47338708" w14:textId="77777777" w:rsidR="006911D3" w:rsidRPr="003F3913" w:rsidRDefault="006911D3" w:rsidP="006911D3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 w:cs="Arial"/>
          <w:b/>
          <w:color w:val="000000" w:themeColor="text1"/>
          <w:kern w:val="0"/>
          <w:sz w:val="36"/>
          <w:szCs w:val="36"/>
        </w:rPr>
      </w:pPr>
      <w:r w:rsidRPr="003F3913">
        <w:rPr>
          <w:rFonts w:ascii="微軟正黑體" w:eastAsia="微軟正黑體" w:hAnsi="微軟正黑體" w:cs="Arial"/>
          <w:b/>
          <w:color w:val="000000" w:themeColor="text1"/>
          <w:kern w:val="0"/>
          <w:sz w:val="36"/>
          <w:szCs w:val="36"/>
        </w:rPr>
        <w:t>資訊安全目標</w:t>
      </w:r>
    </w:p>
    <w:p w14:paraId="1ED026CF" w14:textId="6A6DA40A" w:rsidR="00D358FD" w:rsidRPr="003F3913" w:rsidRDefault="0094563A" w:rsidP="00D358FD">
      <w:pPr>
        <w:pStyle w:val="21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 w:hint="eastAsia"/>
        </w:rPr>
        <w:t>英業達股份有限公司</w:t>
      </w:r>
      <w:r w:rsidR="0085427A" w:rsidRPr="003F3913">
        <w:rPr>
          <w:rFonts w:hint="eastAsia"/>
        </w:rPr>
        <w:t>「資訊方案營運處」</w:t>
      </w:r>
      <w:r w:rsidRPr="003F3913">
        <w:rPr>
          <w:rFonts w:ascii="微軟正黑體" w:eastAsia="微軟正黑體" w:hAnsi="微軟正黑體" w:cs="Arial"/>
        </w:rPr>
        <w:t>之權責單位須建立資訊安全管理流程與相關標準作業程序，加強同仁資訊安全意識</w:t>
      </w:r>
      <w:r w:rsidR="008A6E21" w:rsidRPr="003F3913">
        <w:rPr>
          <w:rFonts w:ascii="微軟正黑體" w:eastAsia="微軟正黑體" w:hAnsi="微軟正黑體" w:cs="Arial"/>
        </w:rPr>
        <w:t>，</w:t>
      </w:r>
      <w:r w:rsidR="00BD6892" w:rsidRPr="003F3913">
        <w:rPr>
          <w:rFonts w:ascii="微軟正黑體" w:eastAsia="微軟正黑體" w:hAnsi="微軟正黑體" w:cs="Arial" w:hint="eastAsia"/>
        </w:rPr>
        <w:t>資訊安全管理代表除</w:t>
      </w:r>
      <w:r w:rsidR="00BD6892" w:rsidRPr="003F3913">
        <w:rPr>
          <w:rFonts w:ascii="微軟正黑體" w:eastAsia="微軟正黑體" w:hAnsi="微軟正黑體" w:hint="eastAsia"/>
        </w:rPr>
        <w:t>核准資訊安全目標，</w:t>
      </w:r>
      <w:r w:rsidR="00BD6892" w:rsidRPr="003F3913">
        <w:rPr>
          <w:rFonts w:ascii="微軟正黑體" w:eastAsia="微軟正黑體" w:hAnsi="微軟正黑體" w:cs="Arial" w:hint="eastAsia"/>
        </w:rPr>
        <w:t>須</w:t>
      </w:r>
      <w:r w:rsidR="00D358FD" w:rsidRPr="003F3913">
        <w:rPr>
          <w:rFonts w:ascii="微軟正黑體" w:eastAsia="微軟正黑體" w:hAnsi="微軟正黑體" w:cs="Arial" w:hint="eastAsia"/>
        </w:rPr>
        <w:t>於每年管理審查會議中討論</w:t>
      </w:r>
      <w:r w:rsidR="00BD6892" w:rsidRPr="003F3913">
        <w:rPr>
          <w:rFonts w:ascii="微軟正黑體" w:eastAsia="微軟正黑體" w:hAnsi="微軟正黑體" w:cs="Arial" w:hint="eastAsia"/>
        </w:rPr>
        <w:t>前一</w:t>
      </w:r>
      <w:r w:rsidR="00D358FD" w:rsidRPr="003F3913">
        <w:rPr>
          <w:rFonts w:ascii="微軟正黑體" w:eastAsia="微軟正黑體" w:hAnsi="微軟正黑體" w:cs="Arial" w:hint="eastAsia"/>
        </w:rPr>
        <w:t>年資訊安全目標事項的達成度及確立新年度的資訊安全目標及事項，資訊安全目標應記錄於會議記錄中並讓範圍中所有相關人員知悉。</w:t>
      </w:r>
    </w:p>
    <w:p w14:paraId="326D9211" w14:textId="77777777" w:rsidR="00D358FD" w:rsidRPr="003F3913" w:rsidRDefault="00D358FD" w:rsidP="00D358FD">
      <w:pPr>
        <w:pStyle w:val="21"/>
        <w:rPr>
          <w:rFonts w:ascii="微軟正黑體" w:eastAsia="微軟正黑體" w:hAnsi="微軟正黑體" w:cs="Arial"/>
        </w:rPr>
      </w:pPr>
    </w:p>
    <w:p w14:paraId="308958DD" w14:textId="77777777" w:rsidR="006911D3" w:rsidRPr="003F3913" w:rsidRDefault="00B91E06" w:rsidP="00512F39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 w:cs="Arial"/>
          <w:b/>
          <w:color w:val="000000" w:themeColor="text1"/>
          <w:kern w:val="0"/>
          <w:sz w:val="36"/>
          <w:szCs w:val="36"/>
        </w:rPr>
      </w:pPr>
      <w:r w:rsidRPr="003F3913">
        <w:rPr>
          <w:rFonts w:ascii="微軟正黑體" w:eastAsia="微軟正黑體" w:hAnsi="微軟正黑體" w:cs="Arial"/>
          <w:b/>
          <w:color w:val="000000" w:themeColor="text1"/>
          <w:kern w:val="0"/>
          <w:sz w:val="36"/>
          <w:szCs w:val="36"/>
        </w:rPr>
        <w:t>資訊安全</w:t>
      </w:r>
      <w:r w:rsidR="00512F39" w:rsidRPr="003F3913">
        <w:rPr>
          <w:rFonts w:ascii="微軟正黑體" w:eastAsia="微軟正黑體" w:hAnsi="微軟正黑體" w:cs="Arial"/>
          <w:b/>
          <w:color w:val="000000" w:themeColor="text1"/>
          <w:kern w:val="0"/>
          <w:sz w:val="36"/>
          <w:szCs w:val="36"/>
        </w:rPr>
        <w:t>控管措施</w:t>
      </w:r>
    </w:p>
    <w:p w14:paraId="2022E317" w14:textId="04B24246" w:rsidR="00512F39" w:rsidRPr="003F3913" w:rsidRDefault="00240AE6" w:rsidP="00D358FD">
      <w:pPr>
        <w:pStyle w:val="3"/>
        <w:numPr>
          <w:ilvl w:val="0"/>
          <w:numId w:val="12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 w:hint="eastAsia"/>
        </w:rPr>
        <w:t>英業達股份有限公司</w:t>
      </w:r>
      <w:r w:rsidR="0085427A" w:rsidRPr="003F3913">
        <w:rPr>
          <w:rFonts w:hint="eastAsia"/>
        </w:rPr>
        <w:t>「資訊方案營運處」</w:t>
      </w:r>
      <w:r w:rsidRPr="003F3913">
        <w:rPr>
          <w:rFonts w:ascii="微軟正黑體" w:eastAsia="微軟正黑體" w:hAnsi="微軟正黑體" w:cs="Arial" w:hint="eastAsia"/>
        </w:rPr>
        <w:t>之</w:t>
      </w:r>
      <w:r w:rsidR="00D358FD" w:rsidRPr="003F3913">
        <w:rPr>
          <w:rFonts w:ascii="微軟正黑體" w:eastAsia="微軟正黑體" w:hAnsi="微軟正黑體" w:cs="Arial" w:hint="eastAsia"/>
        </w:rPr>
        <w:t>適用範圍</w:t>
      </w:r>
      <w:r w:rsidR="00512F39" w:rsidRPr="003F3913">
        <w:rPr>
          <w:rFonts w:ascii="微軟正黑體" w:eastAsia="微軟正黑體" w:hAnsi="微軟正黑體" w:cs="Arial"/>
        </w:rPr>
        <w:t>權責單位應考量相關法律規章及營運要求，進行資產風險評估(Risk evaluation)，確認資訊作業安全需求，建立標準作業程序，並採取適當資訊安全控制措施，以確保資產安全。</w:t>
      </w:r>
    </w:p>
    <w:p w14:paraId="756EA3CC" w14:textId="7F76EA55" w:rsidR="00512F39" w:rsidRPr="003F3913" w:rsidRDefault="00512F39" w:rsidP="00D358FD">
      <w:pPr>
        <w:pStyle w:val="3"/>
        <w:numPr>
          <w:ilvl w:val="0"/>
          <w:numId w:val="12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/>
        </w:rPr>
        <w:t>為有效執行資訊安全工作，</w:t>
      </w:r>
      <w:r w:rsidR="008A6E21" w:rsidRPr="003F3913">
        <w:rPr>
          <w:rFonts w:ascii="微軟正黑體" w:eastAsia="微軟正黑體" w:hAnsi="微軟正黑體" w:cs="Arial" w:hint="eastAsia"/>
        </w:rPr>
        <w:t>英業達股份有限公司</w:t>
      </w:r>
      <w:r w:rsidR="0085427A" w:rsidRPr="003F3913">
        <w:rPr>
          <w:rFonts w:hint="eastAsia"/>
        </w:rPr>
        <w:t>「資訊方案營運處」</w:t>
      </w:r>
      <w:r w:rsidR="00D358FD" w:rsidRPr="003F3913">
        <w:rPr>
          <w:rFonts w:ascii="微軟正黑體" w:eastAsia="微軟正黑體" w:hAnsi="微軟正黑體" w:cs="Arial" w:hint="eastAsia"/>
        </w:rPr>
        <w:t>之適用範圍</w:t>
      </w:r>
      <w:r w:rsidR="00D358FD" w:rsidRPr="003F3913">
        <w:rPr>
          <w:rFonts w:ascii="微軟正黑體" w:eastAsia="微軟正黑體" w:hAnsi="微軟正黑體" w:cs="Arial"/>
        </w:rPr>
        <w:t>權責單位</w:t>
      </w:r>
      <w:r w:rsidRPr="003F3913">
        <w:rPr>
          <w:rFonts w:ascii="微軟正黑體" w:eastAsia="微軟正黑體" w:hAnsi="微軟正黑體" w:cs="Arial"/>
        </w:rPr>
        <w:t>應建立資訊安全權責單位，並訂定其分工權責。</w:t>
      </w:r>
    </w:p>
    <w:p w14:paraId="308EBD06" w14:textId="3D47B3DF" w:rsidR="00512F39" w:rsidRPr="003F3913" w:rsidRDefault="008A6E21" w:rsidP="00D358FD">
      <w:pPr>
        <w:pStyle w:val="3"/>
        <w:numPr>
          <w:ilvl w:val="0"/>
          <w:numId w:val="12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 w:hint="eastAsia"/>
        </w:rPr>
        <w:t>英業達股份有限公司</w:t>
      </w:r>
      <w:r w:rsidR="0085427A" w:rsidRPr="003F3913">
        <w:rPr>
          <w:rFonts w:hint="eastAsia"/>
        </w:rPr>
        <w:t>「資訊方案營運處」</w:t>
      </w:r>
      <w:r w:rsidR="00D358FD" w:rsidRPr="003F3913">
        <w:rPr>
          <w:rFonts w:ascii="微軟正黑體" w:eastAsia="微軟正黑體" w:hAnsi="微軟正黑體" w:cs="Arial" w:hint="eastAsia"/>
        </w:rPr>
        <w:t>之適用範圍</w:t>
      </w:r>
      <w:r w:rsidR="00D358FD" w:rsidRPr="003F3913">
        <w:rPr>
          <w:rFonts w:ascii="微軟正黑體" w:eastAsia="微軟正黑體" w:hAnsi="微軟正黑體" w:cs="Arial"/>
        </w:rPr>
        <w:t>權責單位</w:t>
      </w:r>
      <w:r w:rsidR="00512F39" w:rsidRPr="003F3913">
        <w:rPr>
          <w:rFonts w:ascii="微軟正黑體" w:eastAsia="微軟正黑體" w:hAnsi="微軟正黑體" w:cs="Arial"/>
        </w:rPr>
        <w:t>以人員角色及職能為基礎，建立評估或考核制度，並視實際需要辦理資</w:t>
      </w:r>
      <w:bookmarkStart w:id="2" w:name="_GoBack"/>
      <w:r w:rsidR="00512F39" w:rsidRPr="003F3913">
        <w:rPr>
          <w:rFonts w:ascii="微軟正黑體" w:eastAsia="微軟正黑體" w:hAnsi="微軟正黑體" w:cs="Arial"/>
        </w:rPr>
        <w:t>訊安全教育訓練及宣導活動。</w:t>
      </w:r>
    </w:p>
    <w:bookmarkEnd w:id="2"/>
    <w:p w14:paraId="6EF66904" w14:textId="0397DF3C" w:rsidR="00512F39" w:rsidRPr="003F3913" w:rsidRDefault="00512F39" w:rsidP="00D358FD">
      <w:pPr>
        <w:pStyle w:val="3"/>
        <w:numPr>
          <w:ilvl w:val="0"/>
          <w:numId w:val="12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/>
        </w:rPr>
        <w:t>資產存取權限之賦予，</w:t>
      </w:r>
      <w:r w:rsidR="008A6E21" w:rsidRPr="003F3913">
        <w:rPr>
          <w:rFonts w:ascii="微軟正黑體" w:eastAsia="微軟正黑體" w:hAnsi="微軟正黑體" w:cs="Arial" w:hint="eastAsia"/>
        </w:rPr>
        <w:t>英業達股份有限公司</w:t>
      </w:r>
      <w:r w:rsidR="0085427A" w:rsidRPr="003F3913">
        <w:rPr>
          <w:rFonts w:hint="eastAsia"/>
        </w:rPr>
        <w:t>「資訊方案營運處」</w:t>
      </w:r>
      <w:r w:rsidRPr="003F3913">
        <w:rPr>
          <w:rFonts w:ascii="微軟正黑體" w:eastAsia="微軟正黑體" w:hAnsi="微軟正黑體" w:cs="Arial"/>
        </w:rPr>
        <w:t>之</w:t>
      </w:r>
      <w:r w:rsidR="00D358FD" w:rsidRPr="003F3913">
        <w:rPr>
          <w:rFonts w:ascii="微軟正黑體" w:eastAsia="微軟正黑體" w:hAnsi="微軟正黑體" w:cs="Arial" w:hint="eastAsia"/>
        </w:rPr>
        <w:t>適用範圍</w:t>
      </w:r>
      <w:r w:rsidR="00D358FD" w:rsidRPr="003F3913">
        <w:rPr>
          <w:rFonts w:ascii="微軟正黑體" w:eastAsia="微軟正黑體" w:hAnsi="微軟正黑體" w:cs="Arial"/>
        </w:rPr>
        <w:t>權責單位</w:t>
      </w:r>
      <w:r w:rsidRPr="003F3913">
        <w:rPr>
          <w:rFonts w:ascii="微軟正黑體" w:eastAsia="微軟正黑體" w:hAnsi="微軟正黑體" w:cs="Arial"/>
        </w:rPr>
        <w:t>應依據業務需求並考量最小權限、權責區隔及獨立性審查。</w:t>
      </w:r>
    </w:p>
    <w:p w14:paraId="7E27B67C" w14:textId="13307F37" w:rsidR="00512F39" w:rsidRPr="003F3913" w:rsidRDefault="008A6E21" w:rsidP="00D358FD">
      <w:pPr>
        <w:pStyle w:val="3"/>
        <w:numPr>
          <w:ilvl w:val="0"/>
          <w:numId w:val="12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 w:hint="eastAsia"/>
        </w:rPr>
        <w:t>英業達股份有限公司</w:t>
      </w:r>
      <w:r w:rsidR="0085427A" w:rsidRPr="003F3913">
        <w:rPr>
          <w:rFonts w:hint="eastAsia"/>
        </w:rPr>
        <w:t>「資訊方案營運處」</w:t>
      </w:r>
      <w:r w:rsidR="00512F39" w:rsidRPr="003F3913">
        <w:rPr>
          <w:rFonts w:ascii="微軟正黑體" w:eastAsia="微軟正黑體" w:hAnsi="微軟正黑體" w:cs="Arial"/>
        </w:rPr>
        <w:t>之</w:t>
      </w:r>
      <w:r w:rsidR="00D358FD" w:rsidRPr="003F3913">
        <w:rPr>
          <w:rFonts w:ascii="微軟正黑體" w:eastAsia="微軟正黑體" w:hAnsi="微軟正黑體" w:cs="Arial" w:hint="eastAsia"/>
        </w:rPr>
        <w:t>適用範圍</w:t>
      </w:r>
      <w:r w:rsidR="00D358FD" w:rsidRPr="003F3913">
        <w:rPr>
          <w:rFonts w:ascii="微軟正黑體" w:eastAsia="微軟正黑體" w:hAnsi="微軟正黑體" w:cs="Arial"/>
        </w:rPr>
        <w:t>權責單位</w:t>
      </w:r>
      <w:r w:rsidR="00512F39" w:rsidRPr="003F3913">
        <w:rPr>
          <w:rFonts w:ascii="微軟正黑體" w:eastAsia="微軟正黑體" w:hAnsi="微軟正黑體" w:cs="Arial"/>
        </w:rPr>
        <w:t>應建</w:t>
      </w:r>
      <w:r w:rsidR="00512F39" w:rsidRPr="003F3913">
        <w:rPr>
          <w:rFonts w:ascii="微軟正黑體" w:eastAsia="微軟正黑體" w:hAnsi="微軟正黑體" w:cs="Arial"/>
        </w:rPr>
        <w:lastRenderedPageBreak/>
        <w:t>立資訊安全事故管理程序，以確保事故妥善回應、控制與處理。</w:t>
      </w:r>
    </w:p>
    <w:p w14:paraId="5490B2F3" w14:textId="4ECF4BD9" w:rsidR="00512F39" w:rsidRPr="003F3913" w:rsidRDefault="008A6E21" w:rsidP="00D358FD">
      <w:pPr>
        <w:pStyle w:val="3"/>
        <w:numPr>
          <w:ilvl w:val="0"/>
          <w:numId w:val="12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 w:hint="eastAsia"/>
        </w:rPr>
        <w:t>英業達股份有限公司</w:t>
      </w:r>
      <w:r w:rsidR="0085427A" w:rsidRPr="003F3913">
        <w:rPr>
          <w:rFonts w:hint="eastAsia"/>
        </w:rPr>
        <w:t>「資訊方案營運處」</w:t>
      </w:r>
      <w:r w:rsidR="00D358FD" w:rsidRPr="003F3913">
        <w:rPr>
          <w:rFonts w:ascii="微軟正黑體" w:eastAsia="微軟正黑體" w:hAnsi="微軟正黑體" w:cs="Arial" w:hint="eastAsia"/>
        </w:rPr>
        <w:t>之適用範圍</w:t>
      </w:r>
      <w:r w:rsidR="00D358FD" w:rsidRPr="003F3913">
        <w:rPr>
          <w:rFonts w:ascii="微軟正黑體" w:eastAsia="微軟正黑體" w:hAnsi="微軟正黑體" w:cs="Arial"/>
        </w:rPr>
        <w:t>權責單位</w:t>
      </w:r>
      <w:r w:rsidR="00512F39" w:rsidRPr="003F3913">
        <w:rPr>
          <w:rFonts w:ascii="微軟正黑體" w:eastAsia="微軟正黑體" w:hAnsi="微軟正黑體" w:cs="Arial"/>
        </w:rPr>
        <w:t>應訂定資訊安全目標與使用框架，並需建立營運持續管理計畫並定期演練，以確保資訊安全管理服務不斷改善以持續運作。</w:t>
      </w:r>
    </w:p>
    <w:p w14:paraId="4E2DF083" w14:textId="55A5FA7A" w:rsidR="00512F39" w:rsidRPr="003F3913" w:rsidRDefault="00512F39" w:rsidP="00D358FD">
      <w:pPr>
        <w:pStyle w:val="3"/>
        <w:numPr>
          <w:ilvl w:val="0"/>
          <w:numId w:val="12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/>
        </w:rPr>
        <w:t>依據「個人資料保護法」與智慧財產權等相關法令規定，</w:t>
      </w:r>
      <w:r w:rsidR="008A6E21" w:rsidRPr="003F3913">
        <w:rPr>
          <w:rFonts w:ascii="微軟正黑體" w:eastAsia="微軟正黑體" w:hAnsi="微軟正黑體" w:cs="Arial" w:hint="eastAsia"/>
        </w:rPr>
        <w:t>英業達股份有限公司</w:t>
      </w:r>
      <w:r w:rsidR="0085427A" w:rsidRPr="003F3913">
        <w:rPr>
          <w:rFonts w:hint="eastAsia"/>
        </w:rPr>
        <w:t>「資訊方案營運處」</w:t>
      </w:r>
      <w:r w:rsidR="00D358FD" w:rsidRPr="003F3913">
        <w:rPr>
          <w:rFonts w:ascii="微軟正黑體" w:eastAsia="微軟正黑體" w:hAnsi="微軟正黑體" w:cs="Arial" w:hint="eastAsia"/>
        </w:rPr>
        <w:t>之適用範圍</w:t>
      </w:r>
      <w:r w:rsidR="00D358FD" w:rsidRPr="003F3913">
        <w:rPr>
          <w:rFonts w:ascii="微軟正黑體" w:eastAsia="微軟正黑體" w:hAnsi="微軟正黑體" w:cs="Arial"/>
        </w:rPr>
        <w:t>權責單位</w:t>
      </w:r>
      <w:r w:rsidRPr="003F3913">
        <w:rPr>
          <w:rFonts w:ascii="微軟正黑體" w:eastAsia="微軟正黑體" w:hAnsi="微軟正黑體" w:cs="Arial"/>
        </w:rPr>
        <w:t>應審慎處理及保護個人資料與智慧財產權。</w:t>
      </w:r>
    </w:p>
    <w:p w14:paraId="5370C26E" w14:textId="3BBE9377" w:rsidR="00512F39" w:rsidRPr="003F3913" w:rsidRDefault="008A6E21" w:rsidP="00D358FD">
      <w:pPr>
        <w:pStyle w:val="3"/>
        <w:numPr>
          <w:ilvl w:val="0"/>
          <w:numId w:val="12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 w:hint="eastAsia"/>
        </w:rPr>
        <w:t>英業達股份有限公司</w:t>
      </w:r>
      <w:r w:rsidR="0085427A" w:rsidRPr="003F3913">
        <w:rPr>
          <w:rFonts w:hint="eastAsia"/>
        </w:rPr>
        <w:t>「資訊方案營運處」</w:t>
      </w:r>
      <w:r w:rsidR="00D358FD" w:rsidRPr="003F3913">
        <w:rPr>
          <w:rFonts w:ascii="微軟正黑體" w:eastAsia="微軟正黑體" w:hAnsi="微軟正黑體" w:cs="Arial" w:hint="eastAsia"/>
        </w:rPr>
        <w:t>之適用範圍</w:t>
      </w:r>
      <w:r w:rsidR="00D358FD" w:rsidRPr="003F3913">
        <w:rPr>
          <w:rFonts w:ascii="微軟正黑體" w:eastAsia="微軟正黑體" w:hAnsi="微軟正黑體" w:cs="Arial"/>
        </w:rPr>
        <w:t>權責單位</w:t>
      </w:r>
      <w:r w:rsidR="00512F39" w:rsidRPr="003F3913">
        <w:rPr>
          <w:rFonts w:ascii="微軟正黑體" w:eastAsia="微軟正黑體" w:hAnsi="微軟正黑體" w:cs="Arial"/>
        </w:rPr>
        <w:t>應定期執行資訊安全稽核作業，檢視資訊安全管理制度之落實度。</w:t>
      </w:r>
    </w:p>
    <w:p w14:paraId="27DFE4EE" w14:textId="5FFDA76A" w:rsidR="00E277B1" w:rsidRPr="003F3913" w:rsidRDefault="008A6E21" w:rsidP="00E277B1">
      <w:pPr>
        <w:pStyle w:val="3"/>
        <w:numPr>
          <w:ilvl w:val="0"/>
          <w:numId w:val="12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 w:hint="eastAsia"/>
        </w:rPr>
        <w:t>英業達股份有限公司</w:t>
      </w:r>
      <w:r w:rsidR="0085427A" w:rsidRPr="003F3913">
        <w:rPr>
          <w:rFonts w:hint="eastAsia"/>
        </w:rPr>
        <w:t>「資訊方案營運處」</w:t>
      </w:r>
      <w:r w:rsidR="00D358FD" w:rsidRPr="003F3913">
        <w:rPr>
          <w:rFonts w:ascii="微軟正黑體" w:eastAsia="微軟正黑體" w:hAnsi="微軟正黑體" w:cs="Arial" w:hint="eastAsia"/>
        </w:rPr>
        <w:t>之適用範圍</w:t>
      </w:r>
      <w:r w:rsidR="00D358FD" w:rsidRPr="003F3913">
        <w:rPr>
          <w:rFonts w:ascii="微軟正黑體" w:eastAsia="微軟正黑體" w:hAnsi="微軟正黑體" w:cs="Arial"/>
        </w:rPr>
        <w:t>權責單位</w:t>
      </w:r>
      <w:r w:rsidR="00512F39" w:rsidRPr="003F3913">
        <w:rPr>
          <w:rFonts w:ascii="微軟正黑體" w:eastAsia="微軟正黑體" w:hAnsi="微軟正黑體" w:cs="Arial"/>
        </w:rPr>
        <w:t>同仁如違反</w:t>
      </w:r>
      <w:r w:rsidR="00D358FD" w:rsidRPr="003F3913">
        <w:rPr>
          <w:rFonts w:ascii="微軟正黑體" w:eastAsia="微軟正黑體" w:hAnsi="微軟正黑體" w:cs="Arial" w:hint="eastAsia"/>
        </w:rPr>
        <w:t>資訊安全</w:t>
      </w:r>
      <w:r w:rsidR="00512F39" w:rsidRPr="003F3913">
        <w:rPr>
          <w:rFonts w:ascii="微軟正黑體" w:eastAsia="微軟正黑體" w:hAnsi="微軟正黑體" w:cs="Arial"/>
        </w:rPr>
        <w:t>管理手冊與資訊安全相關規範，應依獎懲標準表或相關法規辦理。其他人員違反資訊安全規定時，亦應依相關法律規定追究民刑事責任。</w:t>
      </w:r>
    </w:p>
    <w:p w14:paraId="535E58AC" w14:textId="77777777" w:rsidR="00D358FD" w:rsidRPr="003F3913" w:rsidRDefault="00D358FD" w:rsidP="00D358FD">
      <w:pPr>
        <w:rPr>
          <w:color w:val="000000" w:themeColor="text1"/>
        </w:rPr>
      </w:pPr>
    </w:p>
    <w:p w14:paraId="657CB2FF" w14:textId="77777777" w:rsidR="00D134AB" w:rsidRPr="003F3913" w:rsidRDefault="00D358FD" w:rsidP="00D134AB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 w:cs="Arial"/>
          <w:b/>
          <w:color w:val="000000" w:themeColor="text1"/>
          <w:kern w:val="0"/>
          <w:sz w:val="36"/>
          <w:szCs w:val="36"/>
        </w:rPr>
      </w:pPr>
      <w:r w:rsidRPr="003F3913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6"/>
          <w:szCs w:val="36"/>
        </w:rPr>
        <w:t>資訊安全政策</w:t>
      </w:r>
      <w:r w:rsidR="00D134AB" w:rsidRPr="003F3913">
        <w:rPr>
          <w:rFonts w:ascii="微軟正黑體" w:eastAsia="微軟正黑體" w:hAnsi="微軟正黑體" w:cs="Arial"/>
          <w:b/>
          <w:color w:val="000000" w:themeColor="text1"/>
          <w:kern w:val="0"/>
          <w:sz w:val="36"/>
          <w:szCs w:val="36"/>
        </w:rPr>
        <w:t>修訂與公告</w:t>
      </w:r>
    </w:p>
    <w:p w14:paraId="7BEBCBC8" w14:textId="77777777" w:rsidR="00D134AB" w:rsidRPr="003F3913" w:rsidRDefault="00D134AB" w:rsidP="00D358FD">
      <w:pPr>
        <w:pStyle w:val="3"/>
        <w:numPr>
          <w:ilvl w:val="0"/>
          <w:numId w:val="14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/>
        </w:rPr>
        <w:t>本政策應每年定期審議，或因組織、業務、法令或環境等因素之</w:t>
      </w:r>
      <w:proofErr w:type="gramStart"/>
      <w:r w:rsidRPr="003F3913">
        <w:rPr>
          <w:rFonts w:ascii="微軟正黑體" w:eastAsia="微軟正黑體" w:hAnsi="微軟正黑體" w:cs="Arial"/>
        </w:rPr>
        <w:t>變迭時</w:t>
      </w:r>
      <w:proofErr w:type="gramEnd"/>
      <w:r w:rsidRPr="003F3913">
        <w:rPr>
          <w:rFonts w:ascii="微軟正黑體" w:eastAsia="微軟正黑體" w:hAnsi="微軟正黑體" w:cs="Arial"/>
        </w:rPr>
        <w:t>，予以適當修訂。</w:t>
      </w:r>
    </w:p>
    <w:p w14:paraId="1FF5AE1F" w14:textId="2BC03F96" w:rsidR="00D134AB" w:rsidRPr="003F3913" w:rsidRDefault="00D134AB" w:rsidP="00D358FD">
      <w:pPr>
        <w:pStyle w:val="3"/>
        <w:numPr>
          <w:ilvl w:val="0"/>
          <w:numId w:val="14"/>
        </w:numPr>
        <w:ind w:left="1276" w:hanging="256"/>
        <w:rPr>
          <w:rFonts w:ascii="微軟正黑體" w:eastAsia="微軟正黑體" w:hAnsi="微軟正黑體" w:cs="Arial"/>
        </w:rPr>
      </w:pPr>
      <w:r w:rsidRPr="003F3913">
        <w:rPr>
          <w:rFonts w:ascii="微軟正黑體" w:eastAsia="微軟正黑體" w:hAnsi="微軟正黑體" w:cs="Arial"/>
        </w:rPr>
        <w:t>本政策經資訊安全會議審議通過，呈請 資訊安全管理代表</w:t>
      </w:r>
      <w:r w:rsidR="00D56E32" w:rsidRPr="003F3913">
        <w:rPr>
          <w:rFonts w:ascii="微軟正黑體" w:eastAsia="微軟正黑體" w:hAnsi="微軟正黑體" w:cs="Arial"/>
        </w:rPr>
        <w:t>審</w:t>
      </w:r>
      <w:r w:rsidRPr="003F3913">
        <w:rPr>
          <w:rFonts w:ascii="微軟正黑體" w:eastAsia="微軟正黑體" w:hAnsi="微軟正黑體" w:cs="Arial"/>
        </w:rPr>
        <w:t>核</w:t>
      </w:r>
      <w:r w:rsidR="00D56E32" w:rsidRPr="003F3913">
        <w:rPr>
          <w:rFonts w:ascii="微軟正黑體" w:eastAsia="微軟正黑體" w:hAnsi="微軟正黑體" w:cs="Arial" w:hint="eastAsia"/>
        </w:rPr>
        <w:t>及</w:t>
      </w:r>
      <w:r w:rsidR="00603C54" w:rsidRPr="003F3913">
        <w:rPr>
          <w:rFonts w:ascii="微軟正黑體" w:eastAsia="微軟正黑體" w:hAnsi="微軟正黑體" w:cs="Arial" w:hint="eastAsia"/>
          <w:bCs/>
        </w:rPr>
        <w:t>中心之最高主管經</w:t>
      </w:r>
      <w:r w:rsidR="0085427A" w:rsidRPr="003F3913">
        <w:rPr>
          <w:rFonts w:ascii="微軟正黑體" w:eastAsia="微軟正黑體" w:hAnsi="微軟正黑體" w:cs="Arial" w:hint="eastAsia"/>
        </w:rPr>
        <w:t>備忘錄</w:t>
      </w:r>
      <w:r w:rsidR="00D56E32" w:rsidRPr="003F3913">
        <w:rPr>
          <w:rFonts w:ascii="微軟正黑體" w:eastAsia="微軟正黑體" w:hAnsi="微軟正黑體" w:cs="Arial" w:hint="eastAsia"/>
        </w:rPr>
        <w:t>核</w:t>
      </w:r>
      <w:r w:rsidRPr="003F3913">
        <w:rPr>
          <w:rFonts w:ascii="微軟正黑體" w:eastAsia="微軟正黑體" w:hAnsi="微軟正黑體" w:cs="Arial"/>
        </w:rPr>
        <w:t>定後公布施行，修正時亦同。</w:t>
      </w:r>
    </w:p>
    <w:sectPr w:rsidR="00D134AB" w:rsidRPr="003F3913" w:rsidSect="00D518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43DF" w14:textId="77777777" w:rsidR="00D975FA" w:rsidRDefault="00D975FA" w:rsidP="000116FB">
      <w:r>
        <w:separator/>
      </w:r>
    </w:p>
  </w:endnote>
  <w:endnote w:type="continuationSeparator" w:id="0">
    <w:p w14:paraId="0EE8E090" w14:textId="77777777" w:rsidR="00D975FA" w:rsidRDefault="00D975FA" w:rsidP="0001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A82E3" w14:textId="77777777" w:rsidR="00D975FA" w:rsidRDefault="00D975FA" w:rsidP="000116FB">
      <w:r>
        <w:separator/>
      </w:r>
    </w:p>
  </w:footnote>
  <w:footnote w:type="continuationSeparator" w:id="0">
    <w:p w14:paraId="4C35CF38" w14:textId="77777777" w:rsidR="00D975FA" w:rsidRDefault="00D975FA" w:rsidP="0001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2pt;height:108pt;visibility:visible;mso-wrap-style:square" o:bullet="t">
        <v:imagedata r:id="rId1" o:title=""/>
      </v:shape>
    </w:pict>
  </w:numPicBullet>
  <w:abstractNum w:abstractNumId="0" w15:restartNumberingAfterBreak="0">
    <w:nsid w:val="02146315"/>
    <w:multiLevelType w:val="hybridMultilevel"/>
    <w:tmpl w:val="E98EAB48"/>
    <w:lvl w:ilvl="0" w:tplc="0BBECD0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 w15:restartNumberingAfterBreak="0">
    <w:nsid w:val="08FF60E6"/>
    <w:multiLevelType w:val="hybridMultilevel"/>
    <w:tmpl w:val="2D2A237C"/>
    <w:lvl w:ilvl="0" w:tplc="B600BDF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66EBF5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3D48EE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17E235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1BE3D4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2A2F8B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3445F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0ECDA6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848AAE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0C821205"/>
    <w:multiLevelType w:val="hybridMultilevel"/>
    <w:tmpl w:val="F45AA5E6"/>
    <w:lvl w:ilvl="0" w:tplc="EC60A8D4">
      <w:start w:val="1"/>
      <w:numFmt w:val="taiwaneseCountingThousand"/>
      <w:lvlText w:val="%1、"/>
      <w:lvlJc w:val="left"/>
      <w:pPr>
        <w:ind w:left="742" w:hanging="742"/>
      </w:pPr>
      <w:rPr>
        <w:rFonts w:ascii="微軟正黑體" w:eastAsia="微軟正黑體" w:hAnsi="微軟正黑體" w:hint="default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044EC"/>
    <w:multiLevelType w:val="hybridMultilevel"/>
    <w:tmpl w:val="E98EAB48"/>
    <w:lvl w:ilvl="0" w:tplc="0BBECD0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4" w15:restartNumberingAfterBreak="0">
    <w:nsid w:val="1ED214FE"/>
    <w:multiLevelType w:val="multilevel"/>
    <w:tmpl w:val="CF3E0AD2"/>
    <w:lvl w:ilvl="0">
      <w:numFmt w:val="decimal"/>
      <w:pStyle w:val="1"/>
      <w:lvlText w:val="%1.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190"/>
        </w:tabs>
        <w:ind w:left="1190" w:hanging="79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40"/>
        </w:tabs>
        <w:ind w:left="1304" w:hanging="284"/>
      </w:pPr>
      <w:rPr>
        <w:rFonts w:hint="eastAsia"/>
        <w:b w:val="0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97"/>
        </w:tabs>
        <w:ind w:left="1814" w:hanging="397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951"/>
        </w:tabs>
        <w:ind w:left="2268" w:hanging="397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4843"/>
        </w:tabs>
        <w:ind w:left="3828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07"/>
        </w:tabs>
        <w:ind w:left="354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92"/>
        </w:tabs>
        <w:ind w:left="411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918"/>
        </w:tabs>
        <w:ind w:left="4818" w:hanging="1700"/>
      </w:pPr>
      <w:rPr>
        <w:rFonts w:hint="eastAsia"/>
      </w:rPr>
    </w:lvl>
  </w:abstractNum>
  <w:abstractNum w:abstractNumId="5" w15:restartNumberingAfterBreak="0">
    <w:nsid w:val="2C61381C"/>
    <w:multiLevelType w:val="multilevel"/>
    <w:tmpl w:val="75825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6" w15:restartNumberingAfterBreak="0">
    <w:nsid w:val="2C630BD0"/>
    <w:multiLevelType w:val="hybridMultilevel"/>
    <w:tmpl w:val="9D8ED4A4"/>
    <w:lvl w:ilvl="0" w:tplc="2FC63BFC">
      <w:start w:val="1"/>
      <w:numFmt w:val="decimal"/>
      <w:lvlText w:val="%1."/>
      <w:lvlJc w:val="left"/>
      <w:pPr>
        <w:ind w:left="1473" w:hanging="48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39D30DDB"/>
    <w:multiLevelType w:val="hybridMultilevel"/>
    <w:tmpl w:val="29702D6C"/>
    <w:lvl w:ilvl="0" w:tplc="7BB65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675140"/>
    <w:multiLevelType w:val="hybridMultilevel"/>
    <w:tmpl w:val="E98EAB48"/>
    <w:lvl w:ilvl="0" w:tplc="0BBECD0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9" w15:restartNumberingAfterBreak="0">
    <w:nsid w:val="4DF7442A"/>
    <w:multiLevelType w:val="hybridMultilevel"/>
    <w:tmpl w:val="CA92C24A"/>
    <w:lvl w:ilvl="0" w:tplc="28A48E76">
      <w:start w:val="1"/>
      <w:numFmt w:val="taiwaneseCountingThousand"/>
      <w:lvlText w:val="%1、"/>
      <w:lvlJc w:val="left"/>
      <w:pPr>
        <w:ind w:left="477" w:hanging="47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397BCA"/>
    <w:multiLevelType w:val="hybridMultilevel"/>
    <w:tmpl w:val="73E46C2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705C48E5"/>
    <w:multiLevelType w:val="hybridMultilevel"/>
    <w:tmpl w:val="29702D6C"/>
    <w:lvl w:ilvl="0" w:tplc="7BB65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9F4BB1"/>
    <w:multiLevelType w:val="hybridMultilevel"/>
    <w:tmpl w:val="E1DEB48A"/>
    <w:lvl w:ilvl="0" w:tplc="DCB6F132">
      <w:start w:val="1"/>
      <w:numFmt w:val="ideographLegalTraditional"/>
      <w:lvlText w:val="%1、"/>
      <w:lvlJc w:val="left"/>
      <w:pPr>
        <w:ind w:left="1080" w:hanging="1080"/>
      </w:pPr>
      <w:rPr>
        <w:rFonts w:asciiTheme="minorHAnsi" w:eastAsiaTheme="minorEastAsia" w:hAnsiTheme="minorHAnsi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ED58B9"/>
    <w:multiLevelType w:val="hybridMultilevel"/>
    <w:tmpl w:val="E98EAB48"/>
    <w:lvl w:ilvl="0" w:tplc="0BBECD0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4" w15:restartNumberingAfterBreak="0">
    <w:nsid w:val="7F995221"/>
    <w:multiLevelType w:val="hybridMultilevel"/>
    <w:tmpl w:val="018EE83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4"/>
  </w:num>
  <w:num w:numId="10">
    <w:abstractNumId w:val="0"/>
  </w:num>
  <w:num w:numId="11">
    <w:abstractNumId w:val="4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6"/>
  </w:num>
  <w:num w:numId="17">
    <w:abstractNumId w:val="11"/>
  </w:num>
  <w:num w:numId="18">
    <w:abstractNumId w:val="10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D3"/>
    <w:rsid w:val="000116FB"/>
    <w:rsid w:val="00015441"/>
    <w:rsid w:val="00030FF8"/>
    <w:rsid w:val="00056671"/>
    <w:rsid w:val="000B0E8A"/>
    <w:rsid w:val="000E753C"/>
    <w:rsid w:val="000F23EF"/>
    <w:rsid w:val="00127E6D"/>
    <w:rsid w:val="00130B16"/>
    <w:rsid w:val="00141A93"/>
    <w:rsid w:val="001757C7"/>
    <w:rsid w:val="001850CC"/>
    <w:rsid w:val="00210280"/>
    <w:rsid w:val="002155D7"/>
    <w:rsid w:val="00240AE6"/>
    <w:rsid w:val="00261FB8"/>
    <w:rsid w:val="002A29EB"/>
    <w:rsid w:val="003138AD"/>
    <w:rsid w:val="00354EB0"/>
    <w:rsid w:val="0035757F"/>
    <w:rsid w:val="003802A3"/>
    <w:rsid w:val="003C18F7"/>
    <w:rsid w:val="003D1268"/>
    <w:rsid w:val="003D5665"/>
    <w:rsid w:val="003F3913"/>
    <w:rsid w:val="00401E1D"/>
    <w:rsid w:val="00461127"/>
    <w:rsid w:val="004809E1"/>
    <w:rsid w:val="00493D6A"/>
    <w:rsid w:val="004D1A05"/>
    <w:rsid w:val="004E00A1"/>
    <w:rsid w:val="004F6C18"/>
    <w:rsid w:val="00512F39"/>
    <w:rsid w:val="00524E1F"/>
    <w:rsid w:val="005564B1"/>
    <w:rsid w:val="0057642F"/>
    <w:rsid w:val="005F7144"/>
    <w:rsid w:val="00603C54"/>
    <w:rsid w:val="0063346F"/>
    <w:rsid w:val="00645CC7"/>
    <w:rsid w:val="00646E0E"/>
    <w:rsid w:val="006743AA"/>
    <w:rsid w:val="00690856"/>
    <w:rsid w:val="006911D3"/>
    <w:rsid w:val="006D7FD2"/>
    <w:rsid w:val="007072F3"/>
    <w:rsid w:val="007264E5"/>
    <w:rsid w:val="00764133"/>
    <w:rsid w:val="007A3719"/>
    <w:rsid w:val="007B2E85"/>
    <w:rsid w:val="007E2B46"/>
    <w:rsid w:val="00826461"/>
    <w:rsid w:val="00845B84"/>
    <w:rsid w:val="0085427A"/>
    <w:rsid w:val="008829B0"/>
    <w:rsid w:val="008A6E21"/>
    <w:rsid w:val="008F3F57"/>
    <w:rsid w:val="008F7C76"/>
    <w:rsid w:val="00910F7C"/>
    <w:rsid w:val="00913E91"/>
    <w:rsid w:val="009427EF"/>
    <w:rsid w:val="0094563A"/>
    <w:rsid w:val="009766A7"/>
    <w:rsid w:val="009A5BA8"/>
    <w:rsid w:val="00AA0F86"/>
    <w:rsid w:val="00AC7965"/>
    <w:rsid w:val="00AF5A0F"/>
    <w:rsid w:val="00B36F39"/>
    <w:rsid w:val="00B75F1F"/>
    <w:rsid w:val="00B91E06"/>
    <w:rsid w:val="00B932D0"/>
    <w:rsid w:val="00BA401C"/>
    <w:rsid w:val="00BD02BF"/>
    <w:rsid w:val="00BD6892"/>
    <w:rsid w:val="00BE7816"/>
    <w:rsid w:val="00C15B12"/>
    <w:rsid w:val="00C16C20"/>
    <w:rsid w:val="00C26DCC"/>
    <w:rsid w:val="00C80177"/>
    <w:rsid w:val="00CA41FB"/>
    <w:rsid w:val="00D10F4D"/>
    <w:rsid w:val="00D134AB"/>
    <w:rsid w:val="00D358FD"/>
    <w:rsid w:val="00D51863"/>
    <w:rsid w:val="00D56E32"/>
    <w:rsid w:val="00D803A1"/>
    <w:rsid w:val="00D975FA"/>
    <w:rsid w:val="00DA5C17"/>
    <w:rsid w:val="00DB625A"/>
    <w:rsid w:val="00DC668F"/>
    <w:rsid w:val="00DF1B73"/>
    <w:rsid w:val="00DF2CF0"/>
    <w:rsid w:val="00E06A5D"/>
    <w:rsid w:val="00E06F5E"/>
    <w:rsid w:val="00E277B1"/>
    <w:rsid w:val="00E50A95"/>
    <w:rsid w:val="00E72DC2"/>
    <w:rsid w:val="00E8455E"/>
    <w:rsid w:val="00F6189F"/>
    <w:rsid w:val="00F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968C8"/>
  <w15:docId w15:val="{0E6C6CAC-4583-42FB-A26A-9DF68660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1863"/>
    <w:pPr>
      <w:widowControl w:val="0"/>
    </w:pPr>
  </w:style>
  <w:style w:type="paragraph" w:styleId="1">
    <w:name w:val="heading 1"/>
    <w:basedOn w:val="a"/>
    <w:next w:val="a"/>
    <w:link w:val="10"/>
    <w:qFormat/>
    <w:rsid w:val="006911D3"/>
    <w:pPr>
      <w:numPr>
        <w:numId w:val="2"/>
      </w:numPr>
      <w:tabs>
        <w:tab w:val="clear" w:pos="396"/>
        <w:tab w:val="left" w:pos="426"/>
      </w:tabs>
      <w:kinsoku w:val="0"/>
      <w:overflowPunct w:val="0"/>
      <w:autoSpaceDE w:val="0"/>
      <w:autoSpaceDN w:val="0"/>
      <w:adjustRightInd w:val="0"/>
      <w:snapToGrid w:val="0"/>
      <w:spacing w:line="340" w:lineRule="exact"/>
      <w:ind w:left="426" w:hanging="426"/>
      <w:textAlignment w:val="bottom"/>
      <w:outlineLvl w:val="0"/>
    </w:pPr>
    <w:rPr>
      <w:rFonts w:ascii="Arial Unicode MS" w:eastAsia="Arial Unicode MS" w:hAnsi="Arial Unicode MS" w:cs="Arial Unicode MS"/>
      <w:kern w:val="0"/>
      <w:szCs w:val="20"/>
    </w:rPr>
  </w:style>
  <w:style w:type="paragraph" w:styleId="2">
    <w:name w:val="heading 2"/>
    <w:basedOn w:val="a"/>
    <w:next w:val="a"/>
    <w:link w:val="20"/>
    <w:qFormat/>
    <w:rsid w:val="006911D3"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snapToGrid w:val="0"/>
      <w:spacing w:line="340" w:lineRule="exact"/>
      <w:textAlignment w:val="bottom"/>
      <w:outlineLvl w:val="1"/>
    </w:pPr>
    <w:rPr>
      <w:rFonts w:ascii="Arial Unicode MS" w:eastAsia="Arial Unicode MS" w:hAnsi="Arial Unicode MS" w:cs="Arial Unicode MS"/>
      <w:kern w:val="0"/>
      <w:szCs w:val="20"/>
    </w:rPr>
  </w:style>
  <w:style w:type="paragraph" w:styleId="3">
    <w:name w:val="heading 3"/>
    <w:basedOn w:val="a"/>
    <w:next w:val="a"/>
    <w:link w:val="30"/>
    <w:qFormat/>
    <w:rsid w:val="006911D3"/>
    <w:pPr>
      <w:numPr>
        <w:ilvl w:val="2"/>
        <w:numId w:val="2"/>
      </w:numPr>
      <w:tabs>
        <w:tab w:val="left" w:pos="1701"/>
      </w:tabs>
      <w:kinsoku w:val="0"/>
      <w:overflowPunct w:val="0"/>
      <w:autoSpaceDE w:val="0"/>
      <w:autoSpaceDN w:val="0"/>
      <w:adjustRightInd w:val="0"/>
      <w:snapToGrid w:val="0"/>
      <w:spacing w:line="340" w:lineRule="exact"/>
      <w:textAlignment w:val="bottom"/>
      <w:outlineLvl w:val="2"/>
    </w:pPr>
    <w:rPr>
      <w:rFonts w:ascii="Arial Unicode MS" w:eastAsia="Arial Unicode MS" w:hAnsi="Arial Unicode MS" w:cs="Arial Unicode MS"/>
      <w:color w:val="000000" w:themeColor="text1"/>
      <w:kern w:val="0"/>
      <w:szCs w:val="20"/>
    </w:rPr>
  </w:style>
  <w:style w:type="paragraph" w:styleId="4">
    <w:name w:val="heading 4"/>
    <w:basedOn w:val="a"/>
    <w:next w:val="a"/>
    <w:link w:val="40"/>
    <w:qFormat/>
    <w:rsid w:val="006911D3"/>
    <w:pPr>
      <w:numPr>
        <w:ilvl w:val="3"/>
        <w:numId w:val="2"/>
      </w:numPr>
      <w:tabs>
        <w:tab w:val="left" w:pos="2552"/>
      </w:tabs>
      <w:kinsoku w:val="0"/>
      <w:overflowPunct w:val="0"/>
      <w:autoSpaceDE w:val="0"/>
      <w:autoSpaceDN w:val="0"/>
      <w:adjustRightInd w:val="0"/>
      <w:snapToGrid w:val="0"/>
      <w:spacing w:line="340" w:lineRule="exact"/>
      <w:textAlignment w:val="baseline"/>
      <w:outlineLvl w:val="3"/>
    </w:pPr>
    <w:rPr>
      <w:rFonts w:ascii="Arial Unicode MS" w:eastAsia="Arial Unicode MS" w:hAnsi="Arial Unicode MS" w:cs="Arial Unicode MS"/>
      <w:szCs w:val="28"/>
    </w:rPr>
  </w:style>
  <w:style w:type="paragraph" w:styleId="5">
    <w:name w:val="heading 5"/>
    <w:basedOn w:val="a"/>
    <w:next w:val="a"/>
    <w:link w:val="50"/>
    <w:qFormat/>
    <w:rsid w:val="006911D3"/>
    <w:pPr>
      <w:numPr>
        <w:ilvl w:val="4"/>
        <w:numId w:val="2"/>
      </w:numPr>
      <w:tabs>
        <w:tab w:val="clear" w:pos="2951"/>
        <w:tab w:val="left" w:pos="3686"/>
      </w:tabs>
      <w:kinsoku w:val="0"/>
      <w:overflowPunct w:val="0"/>
      <w:autoSpaceDE w:val="0"/>
      <w:autoSpaceDN w:val="0"/>
      <w:adjustRightInd w:val="0"/>
      <w:snapToGrid w:val="0"/>
      <w:spacing w:line="340" w:lineRule="exact"/>
      <w:ind w:left="3686" w:hanging="1134"/>
      <w:textAlignment w:val="baseline"/>
      <w:outlineLvl w:val="4"/>
    </w:pPr>
    <w:rPr>
      <w:rFonts w:ascii="Arial Unicode MS" w:eastAsia="Arial Unicode MS" w:hAnsi="Arial Unicode MS" w:cs="Arial Unicode MS"/>
      <w:kern w:val="0"/>
      <w:szCs w:val="20"/>
    </w:rPr>
  </w:style>
  <w:style w:type="paragraph" w:styleId="6">
    <w:name w:val="heading 6"/>
    <w:basedOn w:val="a"/>
    <w:next w:val="a"/>
    <w:link w:val="60"/>
    <w:qFormat/>
    <w:rsid w:val="006911D3"/>
    <w:pPr>
      <w:numPr>
        <w:ilvl w:val="5"/>
        <w:numId w:val="2"/>
      </w:numPr>
      <w:tabs>
        <w:tab w:val="left" w:pos="4962"/>
      </w:tabs>
      <w:kinsoku w:val="0"/>
      <w:overflowPunct w:val="0"/>
      <w:autoSpaceDE w:val="0"/>
      <w:autoSpaceDN w:val="0"/>
      <w:adjustRightInd w:val="0"/>
      <w:snapToGrid w:val="0"/>
      <w:spacing w:line="240" w:lineRule="atLeast"/>
      <w:ind w:left="4962" w:hanging="1276"/>
      <w:textAlignment w:val="baseline"/>
      <w:outlineLvl w:val="5"/>
    </w:pPr>
    <w:rPr>
      <w:rFonts w:ascii="Arial Unicode MS" w:eastAsia="Arial Unicode MS" w:hAnsi="Arial Unicode MS" w:cs="Arial Unicode MS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D3"/>
    <w:pPr>
      <w:ind w:leftChars="200" w:left="480"/>
    </w:pPr>
  </w:style>
  <w:style w:type="character" w:customStyle="1" w:styleId="10">
    <w:name w:val="標題 1 字元"/>
    <w:basedOn w:val="a0"/>
    <w:link w:val="1"/>
    <w:rsid w:val="006911D3"/>
    <w:rPr>
      <w:rFonts w:ascii="Arial Unicode MS" w:eastAsia="Arial Unicode MS" w:hAnsi="Arial Unicode MS" w:cs="Arial Unicode MS"/>
      <w:kern w:val="0"/>
      <w:szCs w:val="20"/>
    </w:rPr>
  </w:style>
  <w:style w:type="character" w:customStyle="1" w:styleId="20">
    <w:name w:val="標題 2 字元"/>
    <w:basedOn w:val="a0"/>
    <w:link w:val="2"/>
    <w:rsid w:val="006911D3"/>
    <w:rPr>
      <w:rFonts w:ascii="Arial Unicode MS" w:eastAsia="Arial Unicode MS" w:hAnsi="Arial Unicode MS" w:cs="Arial Unicode MS"/>
      <w:kern w:val="0"/>
      <w:szCs w:val="20"/>
    </w:rPr>
  </w:style>
  <w:style w:type="character" w:customStyle="1" w:styleId="30">
    <w:name w:val="標題 3 字元"/>
    <w:basedOn w:val="a0"/>
    <w:link w:val="3"/>
    <w:rsid w:val="006911D3"/>
    <w:rPr>
      <w:rFonts w:ascii="Arial Unicode MS" w:eastAsia="Arial Unicode MS" w:hAnsi="Arial Unicode MS" w:cs="Arial Unicode MS"/>
      <w:color w:val="000000" w:themeColor="text1"/>
      <w:kern w:val="0"/>
      <w:szCs w:val="20"/>
    </w:rPr>
  </w:style>
  <w:style w:type="character" w:customStyle="1" w:styleId="40">
    <w:name w:val="標題 4 字元"/>
    <w:basedOn w:val="a0"/>
    <w:link w:val="4"/>
    <w:rsid w:val="006911D3"/>
    <w:rPr>
      <w:rFonts w:ascii="Arial Unicode MS" w:eastAsia="Arial Unicode MS" w:hAnsi="Arial Unicode MS" w:cs="Arial Unicode MS"/>
      <w:szCs w:val="28"/>
    </w:rPr>
  </w:style>
  <w:style w:type="character" w:customStyle="1" w:styleId="50">
    <w:name w:val="標題 5 字元"/>
    <w:basedOn w:val="a0"/>
    <w:link w:val="5"/>
    <w:rsid w:val="006911D3"/>
    <w:rPr>
      <w:rFonts w:ascii="Arial Unicode MS" w:eastAsia="Arial Unicode MS" w:hAnsi="Arial Unicode MS" w:cs="Arial Unicode MS"/>
      <w:kern w:val="0"/>
      <w:szCs w:val="20"/>
    </w:rPr>
  </w:style>
  <w:style w:type="character" w:customStyle="1" w:styleId="60">
    <w:name w:val="標題 6 字元"/>
    <w:basedOn w:val="a0"/>
    <w:link w:val="6"/>
    <w:rsid w:val="006911D3"/>
    <w:rPr>
      <w:rFonts w:ascii="Arial Unicode MS" w:eastAsia="Arial Unicode MS" w:hAnsi="Arial Unicode MS" w:cs="Arial Unicode MS"/>
      <w:kern w:val="0"/>
      <w:szCs w:val="20"/>
    </w:rPr>
  </w:style>
  <w:style w:type="paragraph" w:customStyle="1" w:styleId="21">
    <w:name w:val="內文2"/>
    <w:basedOn w:val="a"/>
    <w:link w:val="22"/>
    <w:rsid w:val="006911D3"/>
    <w:pPr>
      <w:adjustRightInd w:val="0"/>
      <w:snapToGrid w:val="0"/>
      <w:spacing w:line="340" w:lineRule="exact"/>
      <w:ind w:left="993"/>
      <w:jc w:val="both"/>
      <w:textAlignment w:val="baseline"/>
    </w:pPr>
    <w:rPr>
      <w:rFonts w:ascii="Arial Unicode MS" w:eastAsia="Arial Unicode MS" w:hAnsi="Arial Unicode MS" w:cs="Arial Unicode MS"/>
      <w:color w:val="000000" w:themeColor="text1"/>
      <w:kern w:val="0"/>
      <w:szCs w:val="24"/>
    </w:rPr>
  </w:style>
  <w:style w:type="character" w:customStyle="1" w:styleId="22">
    <w:name w:val="內文2 字元 字元"/>
    <w:basedOn w:val="a0"/>
    <w:link w:val="21"/>
    <w:rsid w:val="006911D3"/>
    <w:rPr>
      <w:rFonts w:ascii="Arial Unicode MS" w:eastAsia="Arial Unicode MS" w:hAnsi="Arial Unicode MS" w:cs="Arial Unicode MS"/>
      <w:color w:val="000000" w:themeColor="text1"/>
      <w:kern w:val="0"/>
      <w:szCs w:val="24"/>
    </w:rPr>
  </w:style>
  <w:style w:type="paragraph" w:styleId="a4">
    <w:name w:val="header"/>
    <w:basedOn w:val="a"/>
    <w:link w:val="a5"/>
    <w:rsid w:val="00D134A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D134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11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16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011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11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40EF3CA0C19ED47AA3D619EAAB19F79" ma:contentTypeVersion="2" ma:contentTypeDescription="建立新的文件。" ma:contentTypeScope="" ma:versionID="32f1ff2045d68d8957990b61d6c1492a">
  <xsd:schema xmlns:xsd="http://www.w3.org/2001/XMLSchema" xmlns:xs="http://www.w3.org/2001/XMLSchema" xmlns:p="http://schemas.microsoft.com/office/2006/metadata/properties" xmlns:ns2="9f3b853d-4257-4e89-a106-945566eec04b" targetNamespace="http://schemas.microsoft.com/office/2006/metadata/properties" ma:root="true" ma:fieldsID="1662f9e4e852e50fb553e84f53289d7d" ns2:_="">
    <xsd:import namespace="9f3b853d-4257-4e89-a106-945566eec0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b853d-4257-4e89-a106-945566eec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AA88A-BC7C-4093-8407-C630AA39B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43B64-B0EF-49F2-B12A-38B43165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b853d-4257-4e89-a106-945566ee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6B819-FBFE-4D0A-996F-4FFC8DE65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949AF8-360E-45C2-90F1-BF114E72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198</Words>
  <Characters>1135</Characters>
  <Application>Microsoft Office Word</Application>
  <DocSecurity>0</DocSecurity>
  <Lines>9</Lines>
  <Paragraphs>2</Paragraphs>
  <ScaleCrop>false</ScaleCrop>
  <Company>Inventec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林宗賢</dc:creator>
  <cp:lastModifiedBy>Yeh.Andy 葉嘉雄 IEC1</cp:lastModifiedBy>
  <cp:revision>31</cp:revision>
  <cp:lastPrinted>2017-04-11T02:06:00Z</cp:lastPrinted>
  <dcterms:created xsi:type="dcterms:W3CDTF">2020-12-30T03:02:00Z</dcterms:created>
  <dcterms:modified xsi:type="dcterms:W3CDTF">2021-06-25T05:17:00Z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0x010100540EF3CA0C19ED47AA3D619EAAB19F79</vt:lpwstr>
  </property>
</Properties>
</file>